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6F58" w14:textId="4979DC5D" w:rsidR="00D26E66" w:rsidRDefault="00581DD9">
      <w:r>
        <w:t>The folder contains confidential information</w:t>
      </w:r>
      <w:r w:rsidR="00CB1A27">
        <w:t xml:space="preserve"> on TSUK’s cost structure and input materials, the release of which to the public may give competitive advantage to competitors.</w:t>
      </w:r>
    </w:p>
    <w:sectPr w:rsidR="00D26E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21"/>
    <w:rsid w:val="00167B21"/>
    <w:rsid w:val="00376B03"/>
    <w:rsid w:val="00581DD9"/>
    <w:rsid w:val="006104E8"/>
    <w:rsid w:val="00B57DCF"/>
    <w:rsid w:val="00CB1A27"/>
    <w:rsid w:val="00CD7155"/>
    <w:rsid w:val="00D2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EE19B"/>
  <w15:chartTrackingRefBased/>
  <w15:docId w15:val="{85A84D13-41C4-4C49-98A5-A97EB50FF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3</cp:revision>
  <dcterms:created xsi:type="dcterms:W3CDTF">2023-07-13T11:39:00Z</dcterms:created>
  <dcterms:modified xsi:type="dcterms:W3CDTF">2023-07-14T08:06:00Z</dcterms:modified>
</cp:coreProperties>
</file>